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C0A68" w14:textId="78029A6F" w:rsidR="001457B0" w:rsidRDefault="00953BB0" w:rsidP="00696F84">
      <w:pPr>
        <w:jc w:val="both"/>
        <w:rPr>
          <w:rFonts w:ascii="Calibri" w:eastAsia="Times New Roman" w:hAnsi="Calibri" w:cs="Calibri"/>
          <w:b/>
          <w:bCs/>
          <w:color w:val="ED7D31"/>
        </w:rPr>
      </w:pPr>
      <w:r w:rsidRPr="001457B0">
        <w:rPr>
          <w:rFonts w:ascii="Calibri" w:eastAsia="Times New Roman" w:hAnsi="Calibri" w:cs="Calibri"/>
          <w:b/>
          <w:bCs/>
          <w:color w:val="ED7D31"/>
        </w:rPr>
        <w:t xml:space="preserve">La </w:t>
      </w:r>
      <w:r w:rsidRPr="00F37A7E">
        <w:rPr>
          <w:rFonts w:ascii="Calibri" w:eastAsia="Times New Roman" w:hAnsi="Calibri" w:cs="Calibri"/>
          <w:b/>
          <w:bCs/>
          <w:color w:val="ED7D31"/>
        </w:rPr>
        <w:t>Société Francophone d’</w:t>
      </w:r>
      <w:proofErr w:type="spellStart"/>
      <w:r w:rsidRPr="00F37A7E">
        <w:rPr>
          <w:rFonts w:ascii="Calibri" w:eastAsia="Times New Roman" w:hAnsi="Calibri" w:cs="Calibri"/>
          <w:b/>
          <w:bCs/>
          <w:color w:val="ED7D31"/>
        </w:rPr>
        <w:t>Onco</w:t>
      </w:r>
      <w:proofErr w:type="spellEnd"/>
      <w:r w:rsidRPr="00F37A7E">
        <w:rPr>
          <w:rFonts w:ascii="Calibri" w:eastAsia="Times New Roman" w:hAnsi="Calibri" w:cs="Calibri"/>
          <w:b/>
          <w:bCs/>
          <w:color w:val="ED7D31"/>
        </w:rPr>
        <w:t xml:space="preserve">-Gériatrie (SoFOG) </w:t>
      </w:r>
      <w:r w:rsidRPr="00F37A7E">
        <w:rPr>
          <w:rFonts w:ascii="Calibri" w:eastAsia="Times New Roman" w:hAnsi="Calibri" w:cs="Calibri"/>
        </w:rPr>
        <w:t>vous donne rendez-vous les</w:t>
      </w:r>
      <w:r w:rsidRPr="00F37A7E">
        <w:rPr>
          <w:rFonts w:ascii="Calibri" w:eastAsia="Times New Roman" w:hAnsi="Calibri" w:cs="Calibri"/>
          <w:b/>
          <w:bCs/>
        </w:rPr>
        <w:t xml:space="preserve"> </w:t>
      </w:r>
      <w:r w:rsidRPr="00F37A7E">
        <w:rPr>
          <w:rFonts w:ascii="Calibri" w:eastAsia="Times New Roman" w:hAnsi="Calibri" w:cs="Calibri"/>
          <w:b/>
          <w:bCs/>
          <w:color w:val="ED7D31"/>
        </w:rPr>
        <w:t xml:space="preserve">1, 2 et 3 décembre 2021 </w:t>
      </w:r>
      <w:r w:rsidRPr="00F37A7E">
        <w:rPr>
          <w:rFonts w:ascii="Calibri" w:eastAsia="Times New Roman" w:hAnsi="Calibri" w:cs="Calibri"/>
        </w:rPr>
        <w:t>pour ses</w:t>
      </w:r>
      <w:r w:rsidRPr="00F37A7E">
        <w:rPr>
          <w:rFonts w:ascii="Calibri" w:eastAsia="Times New Roman" w:hAnsi="Calibri" w:cs="Calibri"/>
          <w:b/>
          <w:bCs/>
        </w:rPr>
        <w:t xml:space="preserve"> </w:t>
      </w:r>
      <w:r w:rsidRPr="00F37A7E">
        <w:rPr>
          <w:rFonts w:ascii="Calibri" w:eastAsia="Times New Roman" w:hAnsi="Calibri" w:cs="Calibri"/>
          <w:b/>
          <w:bCs/>
          <w:color w:val="ED7D31"/>
        </w:rPr>
        <w:t>17</w:t>
      </w:r>
      <w:r w:rsidRPr="00F37A7E">
        <w:rPr>
          <w:rFonts w:ascii="Calibri" w:eastAsia="Times New Roman" w:hAnsi="Calibri" w:cs="Calibri"/>
          <w:b/>
          <w:bCs/>
          <w:color w:val="ED7D31"/>
          <w:vertAlign w:val="superscript"/>
        </w:rPr>
        <w:t>èmes</w:t>
      </w:r>
      <w:r w:rsidRPr="00F37A7E">
        <w:rPr>
          <w:rFonts w:ascii="Calibri" w:eastAsia="Times New Roman" w:hAnsi="Calibri" w:cs="Calibri"/>
          <w:b/>
          <w:bCs/>
          <w:color w:val="ED7D31"/>
        </w:rPr>
        <w:t xml:space="preserve"> journées nationales </w:t>
      </w:r>
      <w:r w:rsidR="001457B0" w:rsidRPr="001457B0">
        <w:rPr>
          <w:rFonts w:ascii="Calibri" w:eastAsia="Times New Roman" w:hAnsi="Calibri" w:cs="Calibri"/>
        </w:rPr>
        <w:t xml:space="preserve">dans un </w:t>
      </w:r>
      <w:r w:rsidR="001457B0" w:rsidRPr="001457B0">
        <w:rPr>
          <w:rFonts w:ascii="Calibri" w:eastAsia="Times New Roman" w:hAnsi="Calibri" w:cs="Calibri"/>
          <w:b/>
          <w:bCs/>
        </w:rPr>
        <w:t xml:space="preserve">format alliant le présentiel à la Cité Mondiale de Bordeaux et le virtuel </w:t>
      </w:r>
      <w:r w:rsidR="001457B0" w:rsidRPr="001457B0">
        <w:rPr>
          <w:rFonts w:ascii="Calibri" w:eastAsia="Times New Roman" w:hAnsi="Calibri" w:cs="Calibri"/>
        </w:rPr>
        <w:t>grâce à la retransmission live de certaines sessions.</w:t>
      </w:r>
    </w:p>
    <w:p w14:paraId="65757553" w14:textId="0A306D97" w:rsidR="001457B0" w:rsidRDefault="001457B0" w:rsidP="00696F84">
      <w:pPr>
        <w:jc w:val="both"/>
        <w:rPr>
          <w:rFonts w:ascii="Calibri" w:eastAsia="Times New Roman" w:hAnsi="Calibri" w:cs="Calibri"/>
          <w:b/>
          <w:bCs/>
          <w:color w:val="ED7D31"/>
        </w:rPr>
      </w:pPr>
    </w:p>
    <w:p w14:paraId="0AAEBF02" w14:textId="5B7A2A72" w:rsidR="00696F84" w:rsidRPr="001457B0" w:rsidRDefault="00696F84" w:rsidP="00696F84">
      <w:pPr>
        <w:jc w:val="both"/>
        <w:rPr>
          <w:rFonts w:ascii="Calibri" w:hAnsi="Calibri" w:cs="Calibri"/>
        </w:rPr>
      </w:pPr>
      <w:r w:rsidRPr="00696F84">
        <w:rPr>
          <w:rFonts w:ascii="Calibri" w:hAnsi="Calibri" w:cs="Calibri"/>
          <w:b/>
          <w:bCs/>
        </w:rPr>
        <w:t>Deux grandes thématiques</w:t>
      </w:r>
      <w:r w:rsidR="00A359E7">
        <w:rPr>
          <w:rFonts w:ascii="Calibri" w:hAnsi="Calibri" w:cs="Calibri"/>
        </w:rPr>
        <w:t xml:space="preserve"> </w:t>
      </w:r>
      <w:r w:rsidRPr="00DF4D96">
        <w:rPr>
          <w:rFonts w:ascii="Calibri" w:eastAsia="Times New Roman" w:hAnsi="Calibri" w:cs="Calibri"/>
        </w:rPr>
        <w:t xml:space="preserve">seront abordées </w:t>
      </w:r>
      <w:r w:rsidRPr="00DF4D96">
        <w:rPr>
          <w:rFonts w:ascii="Calibri" w:hAnsi="Calibri" w:cs="Calibri"/>
        </w:rPr>
        <w:t>:</w:t>
      </w:r>
      <w:r w:rsidRPr="001457B0">
        <w:rPr>
          <w:rFonts w:ascii="Calibri" w:hAnsi="Calibri" w:cs="Calibri"/>
        </w:rPr>
        <w:t xml:space="preserve"> </w:t>
      </w:r>
      <w:r w:rsidRPr="00696F84">
        <w:rPr>
          <w:rFonts w:ascii="Calibri" w:hAnsi="Calibri" w:cs="Calibri"/>
          <w:b/>
          <w:bCs/>
        </w:rPr>
        <w:t>l’éducation thérapeutique</w:t>
      </w:r>
      <w:r w:rsidR="00B23A3D">
        <w:rPr>
          <w:rFonts w:ascii="Calibri" w:hAnsi="Calibri" w:cs="Calibri"/>
          <w:b/>
          <w:bCs/>
        </w:rPr>
        <w:t xml:space="preserve"> et</w:t>
      </w:r>
      <w:r>
        <w:rPr>
          <w:rFonts w:ascii="Calibri" w:hAnsi="Calibri" w:cs="Calibri"/>
          <w:b/>
          <w:bCs/>
        </w:rPr>
        <w:t xml:space="preserve"> la conciliation médicamenteuse</w:t>
      </w:r>
      <w:r w:rsidRPr="00696F84">
        <w:rPr>
          <w:rFonts w:ascii="Calibri" w:hAnsi="Calibri" w:cs="Calibri"/>
          <w:b/>
          <w:bCs/>
        </w:rPr>
        <w:t xml:space="preserve"> </w:t>
      </w:r>
      <w:r w:rsidR="00B23A3D">
        <w:rPr>
          <w:rFonts w:ascii="Calibri" w:hAnsi="Calibri" w:cs="Calibri"/>
          <w:b/>
          <w:bCs/>
        </w:rPr>
        <w:t>ainsi que</w:t>
      </w:r>
      <w:r w:rsidRPr="00696F84">
        <w:rPr>
          <w:rFonts w:ascii="Calibri" w:hAnsi="Calibri" w:cs="Calibri"/>
          <w:b/>
          <w:bCs/>
        </w:rPr>
        <w:t xml:space="preserve"> les cancers urologiques chez les sujets âgés.</w:t>
      </w:r>
    </w:p>
    <w:p w14:paraId="4266EE10" w14:textId="77777777" w:rsidR="00953BB0" w:rsidRPr="00F37A7E" w:rsidRDefault="00953BB0" w:rsidP="00953BB0">
      <w:pPr>
        <w:jc w:val="both"/>
        <w:rPr>
          <w:rFonts w:ascii="Calibri" w:eastAsia="Times New Roman" w:hAnsi="Calibri" w:cs="Calibri"/>
          <w:b/>
          <w:bCs/>
          <w:color w:val="ED7D31"/>
        </w:rPr>
      </w:pPr>
    </w:p>
    <w:p w14:paraId="3A12E30B" w14:textId="7F7808A6" w:rsidR="00696F84" w:rsidRPr="00696F84" w:rsidRDefault="00B23A3D" w:rsidP="00696F84">
      <w:pPr>
        <w:jc w:val="both"/>
        <w:rPr>
          <w:rFonts w:ascii="Calibri" w:hAnsi="Calibri" w:cs="Calibri"/>
        </w:rPr>
      </w:pPr>
      <w:r>
        <w:rPr>
          <w:rFonts w:ascii="Calibri" w:hAnsi="Calibri" w:cs="Calibri"/>
        </w:rPr>
        <w:t>« </w:t>
      </w:r>
      <w:r w:rsidR="00696F84" w:rsidRPr="00696F84">
        <w:rPr>
          <w:rFonts w:ascii="Calibri" w:hAnsi="Calibri" w:cs="Calibri"/>
        </w:rPr>
        <w:t xml:space="preserve">Il est temps d’innover dans les offres des parcours de soins de nos patients. L’éducation thérapeutique et la conciliation médicamenteuse sont assez peu développées en gériatrie et encore moins en </w:t>
      </w:r>
      <w:proofErr w:type="spellStart"/>
      <w:r w:rsidR="00696F84" w:rsidRPr="00696F84">
        <w:rPr>
          <w:rFonts w:ascii="Calibri" w:hAnsi="Calibri" w:cs="Calibri"/>
        </w:rPr>
        <w:t>onco</w:t>
      </w:r>
      <w:proofErr w:type="spellEnd"/>
      <w:r w:rsidR="00696F84" w:rsidRPr="00696F84">
        <w:rPr>
          <w:rFonts w:ascii="Cambria Math" w:hAnsi="Cambria Math" w:cs="Cambria Math"/>
        </w:rPr>
        <w:t>‑</w:t>
      </w:r>
      <w:r w:rsidR="00696F84" w:rsidRPr="00696F84">
        <w:rPr>
          <w:rFonts w:ascii="Calibri" w:hAnsi="Calibri" w:cs="Calibri"/>
        </w:rPr>
        <w:t>gériatrie. Pourtant, elles sont un élément essentiel du parcours de soin, et permettent d’améliorer la qualité des soins de nos patients âgés. Ce thème renforcera nos connaissances sur le sujet et sera pourvoyeur de débats riches et intéressants.</w:t>
      </w:r>
    </w:p>
    <w:p w14:paraId="019CF856" w14:textId="77777777" w:rsidR="00696F84" w:rsidRPr="00696F84" w:rsidRDefault="00696F84" w:rsidP="00696F84">
      <w:pPr>
        <w:jc w:val="both"/>
        <w:rPr>
          <w:rFonts w:ascii="Calibri" w:hAnsi="Calibri" w:cs="Calibri"/>
        </w:rPr>
      </w:pPr>
    </w:p>
    <w:p w14:paraId="7DEFBED3" w14:textId="77777777" w:rsidR="00696F84" w:rsidRPr="00696F84" w:rsidRDefault="00696F84" w:rsidP="00696F84">
      <w:pPr>
        <w:jc w:val="both"/>
        <w:rPr>
          <w:rFonts w:ascii="Calibri" w:hAnsi="Calibri" w:cs="Calibri"/>
        </w:rPr>
      </w:pPr>
      <w:r w:rsidRPr="00696F84">
        <w:rPr>
          <w:rFonts w:ascii="Calibri" w:hAnsi="Calibri" w:cs="Calibri"/>
        </w:rPr>
        <w:t xml:space="preserve">Que l’on soit oncologue, gériatre, urologue, ou radiothérapeute, la complexité de nos patients, particulièrement les plus fragiles, est au centre de nos préoccupations cliniques quotidiennes, car les prises en charges des pathologies </w:t>
      </w:r>
      <w:proofErr w:type="spellStart"/>
      <w:r w:rsidRPr="00696F84">
        <w:rPr>
          <w:rFonts w:ascii="Calibri" w:hAnsi="Calibri" w:cs="Calibri"/>
        </w:rPr>
        <w:t>onco</w:t>
      </w:r>
      <w:proofErr w:type="spellEnd"/>
      <w:r w:rsidRPr="00696F84">
        <w:rPr>
          <w:rFonts w:ascii="Cambria Math" w:hAnsi="Cambria Math" w:cs="Cambria Math"/>
        </w:rPr>
        <w:t>‑</w:t>
      </w:r>
      <w:r w:rsidRPr="00696F84">
        <w:rPr>
          <w:rFonts w:ascii="Calibri" w:hAnsi="Calibri" w:cs="Calibri"/>
        </w:rPr>
        <w:t>urologiques sont la plupart du temps multimodales, et incluent de plus en plus de nouvelles thérapeutiques médicamenteuses.</w:t>
      </w:r>
    </w:p>
    <w:p w14:paraId="71789EB6" w14:textId="77777777" w:rsidR="00696F84" w:rsidRPr="00696F84" w:rsidRDefault="00696F84" w:rsidP="00696F84">
      <w:pPr>
        <w:jc w:val="both"/>
        <w:rPr>
          <w:rFonts w:ascii="Calibri" w:hAnsi="Calibri" w:cs="Calibri"/>
        </w:rPr>
      </w:pPr>
    </w:p>
    <w:p w14:paraId="3B6D8D73" w14:textId="77777777" w:rsidR="00696F84" w:rsidRPr="00696F84" w:rsidRDefault="00696F84" w:rsidP="00696F84">
      <w:pPr>
        <w:jc w:val="both"/>
        <w:rPr>
          <w:rFonts w:ascii="Calibri" w:hAnsi="Calibri" w:cs="Calibri"/>
        </w:rPr>
      </w:pPr>
      <w:r w:rsidRPr="00696F84">
        <w:rPr>
          <w:rFonts w:ascii="Calibri" w:hAnsi="Calibri" w:cs="Calibri"/>
        </w:rPr>
        <w:t>Les cancers urologiques regroupent des tumeurs très différentes dans leurs évolutions et leurs prises en charge que nous traiterons séparément afin de nous concentrer sur les innovations et les recommandations actuelles pour chacune.</w:t>
      </w:r>
    </w:p>
    <w:p w14:paraId="74D84CD1" w14:textId="77777777" w:rsidR="00696F84" w:rsidRPr="00696F84" w:rsidRDefault="00696F84" w:rsidP="00696F84">
      <w:pPr>
        <w:jc w:val="both"/>
        <w:rPr>
          <w:rFonts w:ascii="Calibri" w:hAnsi="Calibri" w:cs="Calibri"/>
        </w:rPr>
      </w:pPr>
    </w:p>
    <w:p w14:paraId="2907D82D" w14:textId="55FD7E3D" w:rsidR="00696F84" w:rsidRPr="00696F84" w:rsidRDefault="00696F84" w:rsidP="00696F84">
      <w:pPr>
        <w:jc w:val="both"/>
        <w:rPr>
          <w:rFonts w:ascii="Calibri" w:hAnsi="Calibri" w:cs="Calibri"/>
        </w:rPr>
      </w:pPr>
      <w:r w:rsidRPr="00696F84">
        <w:rPr>
          <w:rFonts w:ascii="Calibri" w:hAnsi="Calibri" w:cs="Calibri"/>
        </w:rPr>
        <w:t>Cette année, comme chaque année, nous souhaitons donner à notre congrès une couleur francophone. Ainsi en 2021, nous proposons de mettre à l’honneur les pays du Maghreb. Une session spécifique leur permettra de faire connaître l’oncologie gériatrique de leurs territoires.</w:t>
      </w:r>
    </w:p>
    <w:p w14:paraId="2CFCFFB4" w14:textId="77777777" w:rsidR="00696F84" w:rsidRPr="00696F84" w:rsidRDefault="00696F84" w:rsidP="00696F84">
      <w:pPr>
        <w:jc w:val="both"/>
        <w:rPr>
          <w:rFonts w:ascii="Calibri" w:hAnsi="Calibri" w:cs="Calibri"/>
        </w:rPr>
      </w:pPr>
    </w:p>
    <w:p w14:paraId="00EA6F91" w14:textId="7794AE45" w:rsidR="00696F84" w:rsidRDefault="00696F84" w:rsidP="00696F84">
      <w:pPr>
        <w:jc w:val="both"/>
        <w:rPr>
          <w:rFonts w:ascii="Calibri" w:hAnsi="Calibri" w:cs="Calibri"/>
        </w:rPr>
      </w:pPr>
      <w:r w:rsidRPr="00696F84">
        <w:rPr>
          <w:rFonts w:ascii="Calibri" w:hAnsi="Calibri" w:cs="Calibri"/>
        </w:rPr>
        <w:t>Ce programme riche vous apportera des clés pour votre exercice quotidien</w:t>
      </w:r>
      <w:r w:rsidR="006844B2">
        <w:rPr>
          <w:rFonts w:ascii="Calibri" w:hAnsi="Calibri" w:cs="Calibri"/>
        </w:rPr>
        <w:t> »</w:t>
      </w:r>
      <w:r w:rsidRPr="00696F84">
        <w:rPr>
          <w:rFonts w:ascii="Calibri" w:hAnsi="Calibri" w:cs="Calibri"/>
        </w:rPr>
        <w:t>.</w:t>
      </w:r>
    </w:p>
    <w:p w14:paraId="1DEE8F38" w14:textId="63F91E73" w:rsidR="006844B2" w:rsidRDefault="006844B2" w:rsidP="00696F84">
      <w:pPr>
        <w:jc w:val="both"/>
        <w:rPr>
          <w:rFonts w:ascii="Calibri" w:hAnsi="Calibri" w:cs="Calibri"/>
        </w:rPr>
      </w:pPr>
    </w:p>
    <w:p w14:paraId="14F0DA7B" w14:textId="77777777" w:rsidR="001457B0" w:rsidRPr="00696F84" w:rsidRDefault="001457B0" w:rsidP="00696F84">
      <w:pPr>
        <w:shd w:val="clear" w:color="auto" w:fill="FFFFFF"/>
        <w:jc w:val="both"/>
        <w:rPr>
          <w:rFonts w:ascii="Calibri" w:eastAsia="Times New Roman" w:hAnsi="Calibri" w:cs="Calibri"/>
          <w:lang w:eastAsia="fr-FR"/>
        </w:rPr>
      </w:pPr>
    </w:p>
    <w:p w14:paraId="12C845C6" w14:textId="641AC1D1" w:rsidR="00953BB0" w:rsidRPr="00696F84" w:rsidRDefault="001457B0" w:rsidP="00696F84">
      <w:pPr>
        <w:shd w:val="clear" w:color="auto" w:fill="FFFFFF"/>
        <w:jc w:val="both"/>
        <w:rPr>
          <w:rFonts w:ascii="Calibri" w:eastAsia="Times New Roman" w:hAnsi="Calibri" w:cs="Calibri"/>
          <w:b/>
          <w:bCs/>
          <w:lang w:eastAsia="fr-FR"/>
        </w:rPr>
      </w:pPr>
      <w:r w:rsidRPr="00696F84">
        <w:rPr>
          <w:rFonts w:ascii="Calibri" w:eastAsia="Times New Roman" w:hAnsi="Calibri" w:cs="Calibri"/>
          <w:b/>
          <w:bCs/>
          <w:lang w:eastAsia="fr-FR"/>
        </w:rPr>
        <w:t xml:space="preserve">Retrouvez toutes les informations (inscription, programme, accès, appel à communications…etc.) sur le site </w:t>
      </w:r>
      <w:hyperlink r:id="rId8" w:history="1">
        <w:r w:rsidR="00696F84" w:rsidRPr="00696F84">
          <w:rPr>
            <w:rStyle w:val="Lienhypertexte"/>
            <w:rFonts w:ascii="Calibri" w:eastAsia="Times New Roman" w:hAnsi="Calibri" w:cs="Calibri"/>
            <w:b/>
            <w:bCs/>
            <w:lang w:eastAsia="fr-FR"/>
          </w:rPr>
          <w:t>www.congres-sofog.com</w:t>
        </w:r>
      </w:hyperlink>
      <w:r w:rsidR="007E4A04">
        <w:rPr>
          <w:rFonts w:ascii="Calibri" w:eastAsia="Times New Roman" w:hAnsi="Calibri" w:cs="Calibri"/>
          <w:b/>
          <w:bCs/>
          <w:lang w:eastAsia="fr-FR"/>
        </w:rPr>
        <w:t xml:space="preserve"> </w:t>
      </w:r>
    </w:p>
    <w:p w14:paraId="41A48545" w14:textId="2B357F17" w:rsidR="007600DC" w:rsidRPr="00696F84" w:rsidRDefault="00953BB0" w:rsidP="00696F84">
      <w:pPr>
        <w:tabs>
          <w:tab w:val="left" w:pos="1843"/>
        </w:tabs>
        <w:suppressAutoHyphens/>
        <w:autoSpaceDE w:val="0"/>
        <w:jc w:val="both"/>
        <w:rPr>
          <w:rFonts w:ascii="Calibri" w:eastAsia="Times New Roman" w:hAnsi="Calibri" w:cs="Calibri"/>
          <w:noProof/>
          <w:lang w:eastAsia="fr-FR"/>
        </w:rPr>
      </w:pPr>
      <w:r w:rsidRPr="00696F84">
        <w:rPr>
          <w:rFonts w:ascii="Calibri" w:eastAsia="Times New Roman" w:hAnsi="Calibri" w:cs="Calibri"/>
          <w:noProof/>
          <w:lang w:eastAsia="fr-FR"/>
        </w:rPr>
        <w:t xml:space="preserve">      </w:t>
      </w:r>
    </w:p>
    <w:p w14:paraId="176E0DF6" w14:textId="77777777" w:rsidR="001457B0" w:rsidRPr="001457B0" w:rsidRDefault="001457B0" w:rsidP="00696F84">
      <w:pPr>
        <w:jc w:val="both"/>
        <w:rPr>
          <w:rFonts w:ascii="Calibri" w:hAnsi="Calibri" w:cs="Calibri"/>
        </w:rPr>
      </w:pPr>
    </w:p>
    <w:sectPr w:rsidR="001457B0" w:rsidRPr="001457B0" w:rsidSect="007600DC">
      <w:headerReference w:type="default" r:id="rId9"/>
      <w:footerReference w:type="default" r:id="rId10"/>
      <w:pgSz w:w="11906" w:h="16838"/>
      <w:pgMar w:top="1134" w:right="1134" w:bottom="1134" w:left="1134" w:header="425"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9DB36" w14:textId="77777777" w:rsidR="006677F8" w:rsidRDefault="006677F8">
      <w:r>
        <w:separator/>
      </w:r>
    </w:p>
  </w:endnote>
  <w:endnote w:type="continuationSeparator" w:id="0">
    <w:p w14:paraId="1F5894A2" w14:textId="77777777" w:rsidR="006677F8" w:rsidRDefault="0066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077C" w14:textId="42678575" w:rsidR="007600DC" w:rsidRDefault="007600DC">
    <w:pPr>
      <w:pStyle w:val="Pieddepage"/>
    </w:pPr>
    <w:r>
      <w:rPr>
        <w:noProof/>
      </w:rPr>
      <w:drawing>
        <wp:anchor distT="0" distB="0" distL="114300" distR="114300" simplePos="0" relativeHeight="251659264" behindDoc="1" locked="0" layoutInCell="1" allowOverlap="1" wp14:anchorId="2CCB5DDF" wp14:editId="3B11D6EE">
          <wp:simplePos x="0" y="0"/>
          <wp:positionH relativeFrom="page">
            <wp:align>left</wp:align>
          </wp:positionH>
          <wp:positionV relativeFrom="paragraph">
            <wp:posOffset>-383540</wp:posOffset>
          </wp:positionV>
          <wp:extent cx="7557770" cy="574675"/>
          <wp:effectExtent l="0" t="0" r="5080" b="0"/>
          <wp:wrapThrough wrapText="bothSides">
            <wp:wrapPolygon edited="0">
              <wp:start x="0" y="0"/>
              <wp:lineTo x="0" y="20765"/>
              <wp:lineTo x="21560" y="20765"/>
              <wp:lineTo x="21560"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1">
                    <a:extLst>
                      <a:ext uri="{28A0092B-C50C-407E-A947-70E740481C1C}">
                        <a14:useLocalDpi xmlns:a14="http://schemas.microsoft.com/office/drawing/2010/main" val="0"/>
                      </a:ext>
                    </a:extLst>
                  </a:blip>
                  <a:srcRect t="94624"/>
                  <a:stretch/>
                </pic:blipFill>
                <pic:spPr bwMode="auto">
                  <a:xfrm>
                    <a:off x="0" y="0"/>
                    <a:ext cx="7557770" cy="574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71D3C" w14:textId="77777777" w:rsidR="006677F8" w:rsidRDefault="006677F8">
      <w:r>
        <w:separator/>
      </w:r>
    </w:p>
  </w:footnote>
  <w:footnote w:type="continuationSeparator" w:id="0">
    <w:p w14:paraId="2626307A" w14:textId="77777777" w:rsidR="006677F8" w:rsidRDefault="0066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0F83" w14:textId="177A1AEC" w:rsidR="002F67A8" w:rsidRDefault="007600DC">
    <w:r>
      <w:rPr>
        <w:noProof/>
      </w:rPr>
      <w:drawing>
        <wp:anchor distT="0" distB="0" distL="114300" distR="114300" simplePos="0" relativeHeight="251658240" behindDoc="1" locked="0" layoutInCell="1" allowOverlap="1" wp14:anchorId="73373172" wp14:editId="34B18EC2">
          <wp:simplePos x="0" y="0"/>
          <wp:positionH relativeFrom="page">
            <wp:align>right</wp:align>
          </wp:positionH>
          <wp:positionV relativeFrom="paragraph">
            <wp:posOffset>-269240</wp:posOffset>
          </wp:positionV>
          <wp:extent cx="7548245" cy="1533525"/>
          <wp:effectExtent l="0" t="0" r="0" b="9525"/>
          <wp:wrapTight wrapText="bothSides">
            <wp:wrapPolygon edited="0">
              <wp:start x="0" y="0"/>
              <wp:lineTo x="0" y="21466"/>
              <wp:lineTo x="21533" y="21466"/>
              <wp:lineTo x="21533"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a:extLst>
                      <a:ext uri="{28A0092B-C50C-407E-A947-70E740481C1C}">
                        <a14:useLocalDpi xmlns:a14="http://schemas.microsoft.com/office/drawing/2010/main" val="0"/>
                      </a:ext>
                    </a:extLst>
                  </a:blip>
                  <a:srcRect b="85638"/>
                  <a:stretch/>
                </pic:blipFill>
                <pic:spPr bwMode="auto">
                  <a:xfrm>
                    <a:off x="0" y="0"/>
                    <a:ext cx="7548245" cy="1533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03076"/>
    <w:multiLevelType w:val="hybridMultilevel"/>
    <w:tmpl w:val="7034F09A"/>
    <w:lvl w:ilvl="0" w:tplc="2D5CB12C">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7A8"/>
    <w:rsid w:val="000318C9"/>
    <w:rsid w:val="000A6BDD"/>
    <w:rsid w:val="001457B0"/>
    <w:rsid w:val="002B244A"/>
    <w:rsid w:val="002F67A8"/>
    <w:rsid w:val="00511FE1"/>
    <w:rsid w:val="006677F8"/>
    <w:rsid w:val="006844B2"/>
    <w:rsid w:val="00696F84"/>
    <w:rsid w:val="007600DC"/>
    <w:rsid w:val="00771005"/>
    <w:rsid w:val="007E4A04"/>
    <w:rsid w:val="00953BB0"/>
    <w:rsid w:val="00A359E7"/>
    <w:rsid w:val="00B23A3D"/>
    <w:rsid w:val="00DF4D96"/>
    <w:rsid w:val="00E8148F"/>
    <w:rsid w:val="00E87684"/>
    <w:rsid w:val="00F37A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952DF"/>
  <w15:docId w15:val="{96C8AF13-C9BC-4A3F-8962-D55CA3BC0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basedOn w:val="Normal"/>
    <w:link w:val="En-tteCar"/>
    <w:uiPriority w:val="99"/>
    <w:unhideWhenUsed/>
    <w:rsid w:val="007600DC"/>
    <w:pPr>
      <w:tabs>
        <w:tab w:val="center" w:pos="4536"/>
        <w:tab w:val="right" w:pos="9072"/>
      </w:tabs>
    </w:pPr>
  </w:style>
  <w:style w:type="character" w:customStyle="1" w:styleId="En-tteCar">
    <w:name w:val="En-tête Car"/>
    <w:basedOn w:val="Policepardfaut"/>
    <w:link w:val="En-tte"/>
    <w:uiPriority w:val="99"/>
    <w:rsid w:val="007600DC"/>
    <w:rPr>
      <w:sz w:val="24"/>
      <w:szCs w:val="24"/>
      <w:lang w:val="en-US" w:eastAsia="en-US"/>
    </w:rPr>
  </w:style>
  <w:style w:type="paragraph" w:styleId="Pieddepage">
    <w:name w:val="footer"/>
    <w:basedOn w:val="Normal"/>
    <w:link w:val="PieddepageCar"/>
    <w:uiPriority w:val="99"/>
    <w:unhideWhenUsed/>
    <w:rsid w:val="007600DC"/>
    <w:pPr>
      <w:tabs>
        <w:tab w:val="center" w:pos="4536"/>
        <w:tab w:val="right" w:pos="9072"/>
      </w:tabs>
    </w:pPr>
  </w:style>
  <w:style w:type="character" w:customStyle="1" w:styleId="PieddepageCar">
    <w:name w:val="Pied de page Car"/>
    <w:basedOn w:val="Policepardfaut"/>
    <w:link w:val="Pieddepage"/>
    <w:uiPriority w:val="99"/>
    <w:rsid w:val="007600DC"/>
    <w:rPr>
      <w:sz w:val="24"/>
      <w:szCs w:val="24"/>
      <w:lang w:val="en-US" w:eastAsia="en-US"/>
    </w:rPr>
  </w:style>
  <w:style w:type="character" w:styleId="Mentionnonrsolue">
    <w:name w:val="Unresolved Mention"/>
    <w:basedOn w:val="Policepardfaut"/>
    <w:uiPriority w:val="99"/>
    <w:semiHidden/>
    <w:unhideWhenUsed/>
    <w:rsid w:val="00696F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312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ngres-sofo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B7759-913A-40B3-9818-EE1A384C0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1708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Nerbusson</dc:creator>
  <cp:lastModifiedBy>Laura Texier</cp:lastModifiedBy>
  <cp:revision>4</cp:revision>
  <dcterms:created xsi:type="dcterms:W3CDTF">2021-04-21T13:45:00Z</dcterms:created>
  <dcterms:modified xsi:type="dcterms:W3CDTF">2021-04-21T14:36:00Z</dcterms:modified>
</cp:coreProperties>
</file>